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874" w:rsidRPr="00383874" w:rsidRDefault="00383874" w:rsidP="0038387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83874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383874" w:rsidRPr="00383874" w:rsidRDefault="00383874" w:rsidP="0038387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83874">
        <w:rPr>
          <w:rFonts w:ascii="Times New Roman" w:hAnsi="Times New Roman" w:cs="Times New Roman"/>
          <w:b/>
          <w:sz w:val="30"/>
          <w:szCs w:val="30"/>
        </w:rPr>
        <w:t>за</w:t>
      </w:r>
    </w:p>
    <w:p w:rsidR="00383874" w:rsidRPr="00383874" w:rsidRDefault="00383874" w:rsidP="0038387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83874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 Обособена позиция № 4: „Изпълнение на строително -монтажни работи за обновяване за енергийна ефективност на многофамилни жилищни сгради за територията на Северен централен район, на чиято територия е допустимо обновяване на жилищни сгради: Благоевград, Дупница, Гоце Делчев, Кюстендил, Перник, Петрич“</w:t>
      </w:r>
    </w:p>
    <w:p w:rsidR="00383874" w:rsidRPr="00383874" w:rsidRDefault="00383874" w:rsidP="0038387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218AB" w:rsidRPr="00383874" w:rsidRDefault="00383874" w:rsidP="0038387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83874">
        <w:rPr>
          <w:rFonts w:ascii="Times New Roman" w:hAnsi="Times New Roman" w:cs="Times New Roman"/>
          <w:b/>
          <w:sz w:val="30"/>
          <w:szCs w:val="30"/>
        </w:rPr>
        <w:t>Многофамилна жилищна сграда в гр. Гоце Делчев, ул. „Одрин“ № 1, рег. № 142-09ПМ-017К-261 на Споразумение за финансова помощ и изпълнение на обновяване за енергийна ефективност</w:t>
      </w:r>
    </w:p>
    <w:p w:rsidR="00383874" w:rsidRPr="00383874" w:rsidRDefault="00383874" w:rsidP="0038387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503"/>
        <w:gridCol w:w="4785"/>
      </w:tblGrid>
      <w:tr w:rsidR="00C218AB" w:rsidRPr="00383874" w:rsidTr="00871A8A">
        <w:trPr>
          <w:trHeight w:val="278"/>
          <w:jc w:val="center"/>
        </w:trPr>
        <w:tc>
          <w:tcPr>
            <w:tcW w:w="2424" w:type="pct"/>
          </w:tcPr>
          <w:p w:rsidR="00C218AB" w:rsidRPr="00383874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874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76" w:type="pct"/>
          </w:tcPr>
          <w:p w:rsidR="00C218AB" w:rsidRPr="00383874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83874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C218AB" w:rsidRPr="00383874" w:rsidTr="00871A8A">
        <w:trPr>
          <w:trHeight w:val="369"/>
          <w:jc w:val="center"/>
        </w:trPr>
        <w:tc>
          <w:tcPr>
            <w:tcW w:w="2424" w:type="pct"/>
          </w:tcPr>
          <w:p w:rsidR="00C218AB" w:rsidRPr="00383874" w:rsidRDefault="00383874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83874">
              <w:rPr>
                <w:noProof/>
                <w:lang w:eastAsia="bg-BG"/>
              </w:rPr>
              <w:drawing>
                <wp:inline distT="0" distB="0" distL="0" distR="0" wp14:anchorId="485D8D36" wp14:editId="47FF1999">
                  <wp:extent cx="2428875" cy="2409825"/>
                  <wp:effectExtent l="19050" t="0" r="9525" b="0"/>
                  <wp:docPr id="2" name="Картина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6" w:type="pct"/>
          </w:tcPr>
          <w:p w:rsidR="00383874" w:rsidRPr="00383874" w:rsidRDefault="00383874" w:rsidP="005318E3">
            <w:pPr>
              <w:ind w:firstLine="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83874">
              <w:rPr>
                <w:noProof/>
                <w:lang w:eastAsia="bg-BG"/>
              </w:rPr>
              <w:drawing>
                <wp:inline distT="0" distB="0" distL="0" distR="0" wp14:anchorId="2085D947" wp14:editId="49ED3256">
                  <wp:extent cx="2505075" cy="2400300"/>
                  <wp:effectExtent l="0" t="0" r="9525" b="0"/>
                  <wp:docPr id="3" name="Картина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18AB" w:rsidRPr="00383874" w:rsidRDefault="00C218AB" w:rsidP="00383874">
            <w:pPr>
              <w:tabs>
                <w:tab w:val="left" w:pos="1905"/>
              </w:tabs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7E3B86" w:rsidRPr="00383874" w:rsidRDefault="007E3B86" w:rsidP="00C218AB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30"/>
          <w:szCs w:val="30"/>
        </w:rPr>
      </w:pPr>
    </w:p>
    <w:p w:rsidR="00FF131E" w:rsidRPr="00383874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83874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83874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83874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83874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83874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Pr="00383874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Pr="00383874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</w:p>
    <w:p w:rsidR="00FF131E" w:rsidRPr="00383874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Pr="00383874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02AE9" w:rsidRPr="00383874" w:rsidRDefault="00302AE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383874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Pr="00383874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FF131E" w:rsidRPr="00383874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383874">
        <w:rPr>
          <w:rFonts w:ascii="Times New Roman" w:hAnsi="Times New Roman" w:cs="Times New Roman"/>
          <w:sz w:val="24"/>
          <w:szCs w:val="24"/>
        </w:rPr>
        <w:t>BG</w:t>
      </w:r>
      <w:r w:rsidR="00FF131E" w:rsidRPr="00383874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 w:rsidRPr="00383874">
        <w:rPr>
          <w:rFonts w:ascii="Times New Roman" w:hAnsi="Times New Roman" w:cs="Times New Roman"/>
          <w:sz w:val="24"/>
          <w:szCs w:val="24"/>
        </w:rPr>
        <w:t>BG</w:t>
      </w:r>
      <w:r w:rsidR="00FF131E" w:rsidRPr="00383874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38387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383874" w:rsidRPr="00383874">
        <w:rPr>
          <w:rFonts w:ascii="Times New Roman" w:hAnsi="Times New Roman" w:cs="Times New Roman"/>
          <w:sz w:val="24"/>
          <w:szCs w:val="24"/>
        </w:rPr>
        <w:t>Настоящата техническа спецификация определя конкретен обект - сграда в гр. Гоце Делчев, за която ще се извършат строителни и монтажни работи (строителство) за обновяване за енергийна ефективност по проект BG161Р0001-1.2.01-0001 „Енергийно обновяване на българските домове”.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Обект на настоящата поръчка е жилищна сграда, одобрена за обновяване по проект BG161Р0001-1.2.01-0001 „Енергийно обновяване на българските домове“ със следния административен адрес: гр. Гоце Делчев, ул. „Одрин“ № 1, рег. № 142-09ПМ-017К-261</w:t>
      </w:r>
      <w:r w:rsidRPr="0038387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383874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Предметът на настоящата поръчка е както следва: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</w:rPr>
        <w:tab/>
        <w:t>Изпълнение на строителни и монтажни работи (строителство) за обновяване за енергийна ефективност на многофамилна жилищна сграда в град Гоце Делчев, ул. „Одрин“ № 1.</w:t>
      </w:r>
    </w:p>
    <w:p w:rsidR="00383874" w:rsidRPr="00383874" w:rsidRDefault="00383874" w:rsidP="003838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Сградата е в</w:t>
      </w:r>
      <w:r w:rsidRPr="00383874">
        <w:rPr>
          <w:rFonts w:ascii="Times New Roman" w:eastAsia="Calibri" w:hAnsi="Times New Roman" w:cs="Times New Roman"/>
          <w:sz w:val="24"/>
          <w:szCs w:val="24"/>
        </w:rPr>
        <w:t>ъведена в експлоатация през 1990</w:t>
      </w:r>
      <w:r w:rsidRPr="00383874">
        <w:rPr>
          <w:rFonts w:ascii="Times New Roman" w:hAnsi="Times New Roman" w:cs="Times New Roman"/>
          <w:sz w:val="24"/>
          <w:szCs w:val="24"/>
        </w:rPr>
        <w:t xml:space="preserve"> </w:t>
      </w:r>
      <w:r w:rsidRPr="00383874">
        <w:rPr>
          <w:rFonts w:ascii="Times New Roman" w:eastAsia="Calibri" w:hAnsi="Times New Roman" w:cs="Times New Roman"/>
          <w:sz w:val="24"/>
          <w:szCs w:val="24"/>
        </w:rPr>
        <w:t>г.</w:t>
      </w:r>
      <w:r w:rsidRPr="00383874">
        <w:rPr>
          <w:rFonts w:ascii="Times New Roman" w:hAnsi="Times New Roman" w:cs="Times New Roman"/>
          <w:sz w:val="24"/>
          <w:szCs w:val="24"/>
        </w:rPr>
        <w:t xml:space="preserve"> Състои се от 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 4 жилищни етажа, един партерен етаж, и един сутерен – полувкопан. Конструкцията е с монолитен стоманобетонен скелет и стени с тухлена зидария.</w:t>
      </w:r>
    </w:p>
    <w:p w:rsidR="00383874" w:rsidRPr="00383874" w:rsidRDefault="00383874" w:rsidP="00383874">
      <w:pPr>
        <w:jc w:val="both"/>
        <w:rPr>
          <w:rFonts w:ascii="Calibri" w:eastAsia="Calibri" w:hAnsi="Calibri" w:cs="Times New Roman"/>
        </w:rPr>
      </w:pP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</w:t>
      </w:r>
      <w:r w:rsidRPr="00383874">
        <w:rPr>
          <w:rFonts w:ascii="Times New Roman" w:hAnsi="Times New Roman" w:cs="Times New Roman"/>
          <w:sz w:val="24"/>
          <w:szCs w:val="24"/>
        </w:rPr>
        <w:lastRenderedPageBreak/>
        <w:t>за енергийна ефективност и сертифициране по реда на Закона за енергийната ефективност (ЗЕЕ).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</w:rPr>
        <w:t>- Подмяна на съществуваща стара дограма;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</w:rPr>
        <w:t>- Топлинно изолиране на външни стени;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</w:rPr>
        <w:t>- Топлинно изолиране на покрив;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</w:rPr>
        <w:t>- Топлинно изолиране на под;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1: Подмяна на съществуваща стара дограма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383874" w:rsidRPr="00383874" w:rsidRDefault="00383874" w:rsidP="0038387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 xml:space="preserve">Дограмата на обекта е четири основни типа – </w:t>
      </w:r>
      <w:r w:rsidRPr="00383874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383874">
        <w:rPr>
          <w:rFonts w:ascii="Times New Roman" w:hAnsi="Times New Roman" w:cs="Times New Roman"/>
          <w:sz w:val="24"/>
          <w:szCs w:val="24"/>
        </w:rPr>
        <w:t xml:space="preserve">, </w:t>
      </w:r>
      <w:r w:rsidRPr="00383874">
        <w:rPr>
          <w:rFonts w:ascii="Times New Roman" w:hAnsi="Times New Roman" w:cs="Times New Roman"/>
          <w:sz w:val="24"/>
          <w:szCs w:val="24"/>
          <w:lang w:val="en-US"/>
        </w:rPr>
        <w:t>PVC</w:t>
      </w:r>
      <w:r w:rsidRPr="0038387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83874">
        <w:rPr>
          <w:rFonts w:ascii="Times New Roman" w:hAnsi="Times New Roman" w:cs="Times New Roman"/>
          <w:sz w:val="24"/>
          <w:szCs w:val="24"/>
        </w:rPr>
        <w:t xml:space="preserve"> дървена и метална. През последните години част от дограмата е подменена с </w:t>
      </w:r>
      <w:r w:rsidRPr="00383874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383874">
        <w:rPr>
          <w:rFonts w:ascii="Times New Roman" w:hAnsi="Times New Roman" w:cs="Times New Roman"/>
          <w:sz w:val="24"/>
          <w:szCs w:val="24"/>
        </w:rPr>
        <w:t xml:space="preserve"> и PVC с двоен стъклопакет. Дограмата на сутерена не се разглежда, понеже той е неотопляем, там тя е изцяло метална. Старата дървена и метална дограма е напълно амортизирана, крилата са изметнати, маджунът по стъклата е паднал, корозионното покритие е изгоряло от слънцето.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383874" w:rsidRPr="00383874" w:rsidRDefault="00383874" w:rsidP="003838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  <w:lang w:eastAsia="zh-CN"/>
        </w:rPr>
        <w:t>Мярката предвижда д</w:t>
      </w:r>
      <w:r w:rsidRPr="00383874">
        <w:rPr>
          <w:rFonts w:ascii="Times New Roman" w:hAnsi="Times New Roman" w:cs="Times New Roman"/>
          <w:sz w:val="24"/>
          <w:szCs w:val="24"/>
        </w:rPr>
        <w:t xml:space="preserve">емонтаж на старата дограма по апартаменти и общи части в сградата и </w:t>
      </w:r>
      <w:r w:rsidRPr="00383874">
        <w:rPr>
          <w:rFonts w:ascii="Times New Roman" w:hAnsi="Times New Roman" w:cs="Times New Roman"/>
          <w:sz w:val="24"/>
          <w:szCs w:val="24"/>
          <w:lang w:eastAsia="zh-CN"/>
        </w:rPr>
        <w:t xml:space="preserve">доставка и монтаж на </w:t>
      </w:r>
      <w:r w:rsidRPr="0038387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нова петкамерна PVC дограма с двоен стъклопакет, с ниско емисионно стъкло</w:t>
      </w:r>
      <w:r w:rsidRPr="003838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 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 коефициент на топлопреминаване за целия прозорец/врата – Uw </w:t>
      </w:r>
      <w:r w:rsidRPr="00383874">
        <w:rPr>
          <w:rFonts w:ascii="Times New Roman" w:hAnsi="Times New Roman" w:cs="Times New Roman"/>
          <w:sz w:val="24"/>
          <w:szCs w:val="24"/>
        </w:rPr>
        <w:t>≤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 1.</w:t>
      </w:r>
      <w:r w:rsidRPr="00383874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 W/m</w:t>
      </w:r>
      <w:r w:rsidRPr="00383874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K. </w:t>
      </w:r>
    </w:p>
    <w:p w:rsidR="00383874" w:rsidRPr="00383874" w:rsidRDefault="00383874" w:rsidP="003838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 xml:space="preserve">Предвижда се и подмяна на 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остъкляването на </w:t>
      </w:r>
      <w:r w:rsidRPr="00383874">
        <w:rPr>
          <w:rFonts w:ascii="Times New Roman" w:eastAsia="Calibri" w:hAnsi="Times New Roman" w:cs="Times New Roman"/>
          <w:bCs/>
          <w:sz w:val="24"/>
          <w:szCs w:val="24"/>
        </w:rPr>
        <w:t>терасите</w:t>
      </w:r>
      <w:r w:rsidRPr="00383874">
        <w:rPr>
          <w:rFonts w:ascii="Times New Roman" w:eastAsia="Calibri" w:hAnsi="Times New Roman" w:cs="Times New Roman"/>
          <w:sz w:val="24"/>
          <w:szCs w:val="24"/>
        </w:rPr>
        <w:t>, което е изпълнено със стоманени или дървени профили. Новото остъкляване ще бъде изпълнено със същия тип дограма</w:t>
      </w:r>
      <w:r w:rsidR="00871A8A">
        <w:rPr>
          <w:rFonts w:ascii="Times New Roman" w:eastAsia="Calibri" w:hAnsi="Times New Roman" w:cs="Times New Roman"/>
          <w:sz w:val="24"/>
          <w:szCs w:val="24"/>
        </w:rPr>
        <w:t>,</w:t>
      </w:r>
      <w:bookmarkStart w:id="0" w:name="_GoBack"/>
      <w:bookmarkEnd w:id="0"/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 както прозорците на апартаментите. 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2: Топлинно изолиране на външни стени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383874" w:rsidRPr="00383874" w:rsidRDefault="00383874" w:rsidP="0038387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lastRenderedPageBreak/>
        <w:t xml:space="preserve">На обекта са идентифицирани два типа външни стени от двустранно измазана тухлена зидария и един тип външна стена от стоманобетон. Състоянието им е добро. Външно и вътрешно стените на отопляваните помещения са поддържани и са в добро състояние. Външната тухлена зидария е с дебелина 25 </w:t>
      </w:r>
      <w:r w:rsidRPr="00383874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383874">
        <w:rPr>
          <w:rFonts w:ascii="Times New Roman" w:hAnsi="Times New Roman" w:cs="Times New Roman"/>
          <w:sz w:val="24"/>
          <w:szCs w:val="24"/>
        </w:rPr>
        <w:t xml:space="preserve">. Една част от терасите са затворени и приобщени към отопляемия обем на сградата. Външната тухлена зидария на терасите е с дебелина 15 </w:t>
      </w:r>
      <w:r w:rsidRPr="00383874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383874">
        <w:rPr>
          <w:rFonts w:ascii="Times New Roman" w:hAnsi="Times New Roman" w:cs="Times New Roman"/>
          <w:sz w:val="24"/>
          <w:szCs w:val="24"/>
        </w:rPr>
        <w:t xml:space="preserve">. Цокълът на сградата е изпълнен със стоманобетон, който е във видимо добро състояние. 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 xml:space="preserve">Мярката предвижда  топлинно изолиране на външни стени с топлоизолационен материал δ=8 </w:t>
      </w:r>
      <w:r w:rsidRPr="003838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83874">
        <w:rPr>
          <w:rFonts w:ascii="Times New Roman" w:hAnsi="Times New Roman" w:cs="Times New Roman"/>
          <w:sz w:val="24"/>
          <w:szCs w:val="24"/>
        </w:rPr>
        <w:t xml:space="preserve">m ЕPS (експандиран пенополистирол), с коефициент на топлопроводност λ≤0,041 W/mK, положен от външната страна на стените (вкл. лепило, арм. мрежа, ъглови профили, крепежни елементи, грундиране и полагане на цветна силикатна екстериорна мазилка), както и тополоизолационна система пo страници на прозорци, тип ЕPS, δ=2 </w:t>
      </w:r>
      <w:r w:rsidRPr="003838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83874">
        <w:rPr>
          <w:rFonts w:ascii="Times New Roman" w:hAnsi="Times New Roman" w:cs="Times New Roman"/>
          <w:sz w:val="24"/>
          <w:szCs w:val="24"/>
        </w:rPr>
        <w:t>m. с коеф. на топлопроводност λ≤0,041 W/mK (вкл. лепило, арм. мрежа, шпакловка, ъглови профили, крепежни елементи и полагане на цветна силикатна екстериорна мазилка).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3: Топлинно изолиране на покрив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 xml:space="preserve">Покривът на сградата е скатен дървен с покритие от керемиди и неотопляемо подпокривно пространство. Конфигурацията му е силно начупена с много скатове, улами и различни наклони. На места са констатирани течове. 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83874" w:rsidRPr="00383874" w:rsidRDefault="00383874" w:rsidP="00383874">
      <w:pPr>
        <w:pStyle w:val="Default"/>
        <w:ind w:firstLine="709"/>
        <w:jc w:val="both"/>
        <w:rPr>
          <w:rFonts w:ascii="Times New Roman" w:hAnsi="Times New Roman" w:cs="Times New Roman"/>
          <w:lang w:val="bg-BG"/>
        </w:rPr>
      </w:pPr>
      <w:r w:rsidRPr="00383874">
        <w:rPr>
          <w:rFonts w:ascii="Times New Roman" w:hAnsi="Times New Roman" w:cs="Times New Roman"/>
          <w:lang w:val="bg-BG"/>
        </w:rPr>
        <w:t>Мярката предвижда изпълнението на следните дейности:</w:t>
      </w:r>
    </w:p>
    <w:p w:rsidR="00383874" w:rsidRPr="00383874" w:rsidRDefault="00383874" w:rsidP="00383874">
      <w:pPr>
        <w:pStyle w:val="Default"/>
        <w:ind w:firstLine="709"/>
        <w:jc w:val="both"/>
        <w:rPr>
          <w:rFonts w:ascii="Times New Roman" w:hAnsi="Times New Roman" w:cs="Times New Roman"/>
          <w:lang w:val="bg-BG"/>
        </w:rPr>
      </w:pPr>
    </w:p>
    <w:p w:rsidR="00383874" w:rsidRPr="00383874" w:rsidRDefault="00383874" w:rsidP="003838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 xml:space="preserve">Почиства се 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подовата плоча под покрива, след което се полага </w:t>
      </w:r>
      <w:r w:rsidRPr="00383874">
        <w:rPr>
          <w:rFonts w:ascii="Times New Roman" w:hAnsi="Times New Roman" w:cs="Times New Roman"/>
          <w:sz w:val="24"/>
          <w:szCs w:val="24"/>
        </w:rPr>
        <w:t xml:space="preserve">върху нея се полага 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пароизолация (активна парна бариера) - армирана мембрана от ПВХ. Върху </w:t>
      </w:r>
      <w:r w:rsidRPr="00383874">
        <w:rPr>
          <w:rFonts w:ascii="Times New Roman" w:hAnsi="Times New Roman" w:cs="Times New Roman"/>
          <w:sz w:val="24"/>
          <w:szCs w:val="24"/>
        </w:rPr>
        <w:t xml:space="preserve">пароизолацията се изпълнява </w:t>
      </w:r>
      <w:r w:rsidRPr="00383874">
        <w:rPr>
          <w:rFonts w:ascii="Times New Roman" w:hAnsi="Times New Roman" w:cs="Times New Roman"/>
          <w:b/>
          <w:sz w:val="24"/>
          <w:szCs w:val="24"/>
        </w:rPr>
        <w:t xml:space="preserve">топлинна изолация от </w:t>
      </w:r>
      <w:r w:rsidRPr="00383874">
        <w:rPr>
          <w:rFonts w:ascii="Times New Roman" w:eastAsia="Calibri" w:hAnsi="Times New Roman" w:cs="Times New Roman"/>
          <w:b/>
          <w:sz w:val="24"/>
          <w:szCs w:val="24"/>
        </w:rPr>
        <w:t>дюшечетата от минерална вата с</w:t>
      </w:r>
      <w:r w:rsidRPr="00383874">
        <w:rPr>
          <w:rFonts w:ascii="Times New Roman" w:hAnsi="Times New Roman" w:cs="Times New Roman"/>
          <w:b/>
          <w:sz w:val="24"/>
          <w:szCs w:val="24"/>
        </w:rPr>
        <w:t xml:space="preserve"> коеф. на топлопроводност λ≤0,037 WmK</w:t>
      </w:r>
      <w:r w:rsidRPr="00383874">
        <w:rPr>
          <w:rFonts w:ascii="Times New Roman" w:eastAsia="Calibri" w:hAnsi="Times New Roman" w:cs="Times New Roman"/>
          <w:b/>
          <w:sz w:val="24"/>
          <w:szCs w:val="24"/>
        </w:rPr>
        <w:t xml:space="preserve"> и дебелина 10 см. </w:t>
      </w:r>
      <w:r w:rsidRPr="00383874">
        <w:rPr>
          <w:rFonts w:ascii="Times New Roman" w:eastAsia="Calibri" w:hAnsi="Times New Roman" w:cs="Times New Roman"/>
          <w:sz w:val="24"/>
          <w:szCs w:val="24"/>
        </w:rPr>
        <w:t>Върху топлоизолацията се полага пародренажна мембрана от армирано фолио, която</w:t>
      </w:r>
      <w:r w:rsidRPr="00383874">
        <w:rPr>
          <w:rFonts w:ascii="Times New Roman" w:hAnsi="Times New Roman" w:cs="Times New Roman"/>
          <w:sz w:val="24"/>
          <w:szCs w:val="24"/>
        </w:rPr>
        <w:t xml:space="preserve"> да я</w:t>
      </w:r>
      <w:r w:rsidRPr="00383874">
        <w:rPr>
          <w:rFonts w:ascii="Times New Roman" w:eastAsia="Calibri" w:hAnsi="Times New Roman" w:cs="Times New Roman"/>
          <w:sz w:val="24"/>
          <w:szCs w:val="24"/>
        </w:rPr>
        <w:t xml:space="preserve"> защитава от външно мокрене, но </w:t>
      </w:r>
      <w:r w:rsidRPr="00383874">
        <w:rPr>
          <w:rFonts w:ascii="Times New Roman" w:hAnsi="Times New Roman" w:cs="Times New Roman"/>
          <w:sz w:val="24"/>
          <w:szCs w:val="24"/>
        </w:rPr>
        <w:t xml:space="preserve">в същото време да </w:t>
      </w:r>
      <w:r w:rsidRPr="00383874">
        <w:rPr>
          <w:rFonts w:ascii="Times New Roman" w:eastAsia="Calibri" w:hAnsi="Times New Roman" w:cs="Times New Roman"/>
          <w:sz w:val="24"/>
          <w:szCs w:val="24"/>
        </w:rPr>
        <w:t>позволява отделяне на вътрешна влага (паропропусклива/водонепропусклива мембрана).</w:t>
      </w:r>
      <w:r w:rsidRPr="00383874">
        <w:rPr>
          <w:rFonts w:ascii="Times New Roman" w:hAnsi="Times New Roman" w:cs="Times New Roman"/>
          <w:sz w:val="24"/>
          <w:szCs w:val="24"/>
        </w:rPr>
        <w:t xml:space="preserve"> Над топлинната изолация се </w:t>
      </w:r>
      <w:r w:rsidRPr="00383874">
        <w:rPr>
          <w:rFonts w:ascii="Times New Roman" w:hAnsi="Times New Roman" w:cs="Times New Roman"/>
          <w:sz w:val="24"/>
          <w:szCs w:val="24"/>
        </w:rPr>
        <w:lastRenderedPageBreak/>
        <w:t xml:space="preserve">монтират </w:t>
      </w:r>
      <w:r w:rsidRPr="0038387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пътеки </w:t>
      </w:r>
      <w:r w:rsidRPr="003838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от плоскости от </w:t>
      </w:r>
      <w:r w:rsidRPr="0038387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OSB</w:t>
      </w:r>
      <w:r w:rsidRPr="00383874">
        <w:rPr>
          <w:rFonts w:ascii="Times New Roman" w:hAnsi="Times New Roman" w:cs="Times New Roman"/>
          <w:sz w:val="24"/>
          <w:szCs w:val="24"/>
          <w:lang w:val="ru-RU"/>
        </w:rPr>
        <w:t xml:space="preserve"> с широчина 60 см, които ще позволяват да се ходи по тях с цел </w:t>
      </w:r>
      <w:r w:rsidRPr="003838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ревизиране на подпокривното пространство. </w:t>
      </w:r>
    </w:p>
    <w:p w:rsidR="00383874" w:rsidRPr="00383874" w:rsidRDefault="00383874" w:rsidP="00383874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Предвижда се и изпълнението на съпътстващи строително-монтажни работи по покрива – тенекеджийски работи и други, вкл. изграждане на нова мълниезащитна инсталация.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3874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4: Топлинно изолиране на под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Установени са два типа подове - под над неотопляем сутерен и под граничещ с външен въздух.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87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83874" w:rsidRPr="00383874" w:rsidRDefault="00383874" w:rsidP="0038387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Предвижда се топлинно изолиране на пода граничещ с външен въздух /еркер/ с топлоизолационен материал – 8 сm ЕPS (експандиран пенополистирол), с коефициент на топлопроводност λ≤0,041 W/mK, положен от външната страна на подовата конструкция.</w:t>
      </w:r>
    </w:p>
    <w:p w:rsidR="00C218AB" w:rsidRPr="00383874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C218AB" w:rsidRPr="00383874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C218AB" w:rsidRPr="00383874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Работният проект включва всички проектни части, които са свързани с изпълнение на мерките за енергийна ефективност.</w:t>
      </w:r>
    </w:p>
    <w:p w:rsidR="00C218AB" w:rsidRPr="00383874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Предвидени са и съпътстващи СМР, обвързани с изпълнението на всяка ЕСМ в рамките на тяхната допустимост по проекта.</w:t>
      </w:r>
    </w:p>
    <w:p w:rsidR="00C218AB" w:rsidRPr="00383874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Работният проект включва частите: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Елект</w:t>
      </w:r>
      <w:r w:rsidR="00512103" w:rsidRPr="00383874">
        <w:rPr>
          <w:rFonts w:ascii="Times New Roman" w:hAnsi="Times New Roman" w:cs="Times New Roman"/>
          <w:sz w:val="24"/>
          <w:szCs w:val="24"/>
        </w:rPr>
        <w:t>р</w:t>
      </w:r>
      <w:r w:rsidRPr="00383874">
        <w:rPr>
          <w:rFonts w:ascii="Times New Roman" w:hAnsi="Times New Roman" w:cs="Times New Roman"/>
          <w:sz w:val="24"/>
          <w:szCs w:val="24"/>
        </w:rPr>
        <w:t>о</w:t>
      </w:r>
      <w:r w:rsidR="00512103" w:rsidRPr="00383874">
        <w:rPr>
          <w:rFonts w:ascii="Times New Roman" w:hAnsi="Times New Roman" w:cs="Times New Roman"/>
          <w:sz w:val="24"/>
          <w:szCs w:val="24"/>
        </w:rPr>
        <w:t>техническа</w:t>
      </w:r>
      <w:r w:rsidRPr="00383874">
        <w:rPr>
          <w:rFonts w:ascii="Times New Roman" w:hAnsi="Times New Roman" w:cs="Times New Roman"/>
          <w:sz w:val="24"/>
          <w:szCs w:val="24"/>
        </w:rPr>
        <w:t>;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C218AB" w:rsidRPr="00383874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lastRenderedPageBreak/>
        <w:t>Сметна документация (количествена сметка).</w:t>
      </w:r>
    </w:p>
    <w:p w:rsidR="00C66637" w:rsidRPr="00383874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383874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3838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874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38387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FF131E" w:rsidRPr="00383874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38387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FF131E" w:rsidRPr="00383874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383874">
        <w:rPr>
          <w:rFonts w:ascii="Times New Roman" w:hAnsi="Times New Roman" w:cs="Times New Roman"/>
          <w:sz w:val="24"/>
          <w:szCs w:val="24"/>
        </w:rPr>
        <w:t>BG</w:t>
      </w:r>
      <w:r w:rsidR="00FF131E" w:rsidRPr="00383874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 w:rsidRPr="00383874">
        <w:rPr>
          <w:rFonts w:ascii="Times New Roman" w:hAnsi="Times New Roman" w:cs="Times New Roman"/>
          <w:sz w:val="24"/>
          <w:szCs w:val="24"/>
        </w:rPr>
        <w:t>BG</w:t>
      </w:r>
      <w:r w:rsidR="00FF131E" w:rsidRPr="00383874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>4. ИЗИСКВАНИЯ ЗА ПОСТАВЯНЕ НА ВРЕМЕННА ИНФОРМАЦИОННА ТАБЕЛА (БИЛБОРД), СЪГЛАСНО ЧЛ. 157, АЛ. 5 ОТ ЗУТ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 xml:space="preserve">Изпълнителят следва да изработи временна 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BG161Р0001-1.2.01-0001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BG161Р0001-1.2.01-0001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</w:t>
      </w:r>
      <w:r w:rsidRPr="00383874">
        <w:rPr>
          <w:rFonts w:ascii="Times New Roman" w:hAnsi="Times New Roman" w:cs="Times New Roman"/>
          <w:sz w:val="24"/>
          <w:szCs w:val="24"/>
        </w:rPr>
        <w:lastRenderedPageBreak/>
        <w:t>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Размерът на изработената табела трябва да бъде минимум 70 см х 50 см. Тя трябва да съдържа следната информация: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1. Номер на заповед за предоставяне на БФП и наименование на проекта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2. Бенефициент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3. Стойност на проекта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4. Съфинансиране от ЕФРР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6. Вида и името на дейността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7. Начало на проекта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8. Край на проекта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По отношение на визуализацията на табелата важат следните изисквания:</w:t>
      </w:r>
    </w:p>
    <w:p w:rsidR="0078357E" w:rsidRPr="00383874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9</w:t>
      </w:r>
      <w:r w:rsidR="0078357E" w:rsidRPr="00383874">
        <w:rPr>
          <w:rFonts w:ascii="Times New Roman" w:hAnsi="Times New Roman" w:cs="Times New Roman"/>
          <w:sz w:val="24"/>
          <w:szCs w:val="24"/>
        </w:rPr>
        <w:t>. Логото на проекта</w:t>
      </w:r>
    </w:p>
    <w:p w:rsidR="0078357E" w:rsidRPr="00383874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10</w:t>
      </w:r>
      <w:r w:rsidR="0078357E" w:rsidRPr="00383874">
        <w:rPr>
          <w:rFonts w:ascii="Times New Roman" w:hAnsi="Times New Roman" w:cs="Times New Roman"/>
          <w:sz w:val="24"/>
          <w:szCs w:val="24"/>
        </w:rPr>
        <w:t>. Логото на Оперативна програма „Регионално развитие“</w:t>
      </w:r>
    </w:p>
    <w:p w:rsidR="0078357E" w:rsidRPr="00383874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11</w:t>
      </w:r>
      <w:r w:rsidR="0078357E" w:rsidRPr="00383874">
        <w:rPr>
          <w:rFonts w:ascii="Times New Roman" w:hAnsi="Times New Roman" w:cs="Times New Roman"/>
          <w:sz w:val="24"/>
          <w:szCs w:val="24"/>
        </w:rPr>
        <w:t>. 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383874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12</w:t>
      </w:r>
      <w:r w:rsidR="0078357E" w:rsidRPr="00383874">
        <w:rPr>
          <w:rFonts w:ascii="Times New Roman" w:hAnsi="Times New Roman" w:cs="Times New Roman"/>
          <w:sz w:val="24"/>
          <w:szCs w:val="24"/>
        </w:rPr>
        <w:t>. Позоваване на Европейския фонд за регионално развитие;</w:t>
      </w:r>
    </w:p>
    <w:p w:rsidR="0078357E" w:rsidRPr="00383874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>13</w:t>
      </w:r>
      <w:r w:rsidR="0078357E" w:rsidRPr="00383874">
        <w:rPr>
          <w:rFonts w:ascii="Times New Roman" w:hAnsi="Times New Roman" w:cs="Times New Roman"/>
          <w:sz w:val="24"/>
          <w:szCs w:val="24"/>
        </w:rPr>
        <w:t>. Послание, символизиращо помощта на ЕС в конкретната операция: „Инвестираме във вашето бъдеще”</w:t>
      </w: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EE54D2" w:rsidRPr="00383874" w:rsidRDefault="00EE54D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Pr="00383874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Pr="00383874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Pr="00383874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383874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 w:rsidRPr="00383874">
        <w:rPr>
          <w:noProof/>
          <w:lang w:eastAsia="bg-BG"/>
        </w:rPr>
        <w:drawing>
          <wp:inline distT="0" distB="0" distL="0" distR="0" wp14:anchorId="2BB0FA44" wp14:editId="3F7DC132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Pr="0038387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383874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383874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383874" w:rsidRPr="00383874" w:rsidRDefault="00383874" w:rsidP="0038387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  <w:t>Мястото на изпълнение на поръчката е гр. Гоце Делчев, ул. „Одрин“ № 1.</w:t>
      </w:r>
    </w:p>
    <w:p w:rsidR="00644CE9" w:rsidRPr="00383874" w:rsidRDefault="00C218A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644CE9" w:rsidRPr="00383874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83874">
        <w:rPr>
          <w:rFonts w:ascii="Times New Roman" w:hAnsi="Times New Roman" w:cs="Times New Roman"/>
          <w:sz w:val="24"/>
          <w:szCs w:val="24"/>
        </w:rPr>
        <w:t>.</w:t>
      </w:r>
    </w:p>
    <w:p w:rsidR="00644CE9" w:rsidRPr="00383874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383874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Pr="0038387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FF131E" w:rsidRPr="00383874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 w:rsidRPr="00383874">
        <w:rPr>
          <w:rFonts w:ascii="Times New Roman" w:hAnsi="Times New Roman" w:cs="Times New Roman"/>
          <w:sz w:val="24"/>
          <w:szCs w:val="24"/>
        </w:rPr>
        <w:t>6</w:t>
      </w:r>
      <w:r w:rsidR="00FF131E" w:rsidRPr="00383874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38387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38387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383874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874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383874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383874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FF131E" w:rsidRPr="00383874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383874" w:rsidRPr="00383874">
        <w:rPr>
          <w:rFonts w:ascii="Times New Roman" w:hAnsi="Times New Roman" w:cs="Times New Roman"/>
          <w:sz w:val="24"/>
          <w:szCs w:val="24"/>
        </w:rPr>
        <w:t xml:space="preserve">91 060,09 лв. </w:t>
      </w:r>
      <w:r w:rsidR="00FF131E" w:rsidRPr="00383874">
        <w:rPr>
          <w:rFonts w:ascii="Times New Roman" w:hAnsi="Times New Roman" w:cs="Times New Roman"/>
          <w:sz w:val="24"/>
          <w:szCs w:val="24"/>
        </w:rPr>
        <w:t>без ДДС с включени непредвидени разходи</w:t>
      </w:r>
      <w:r w:rsidR="00230DC4" w:rsidRPr="0038387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38387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383874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383874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38387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3874">
        <w:rPr>
          <w:rFonts w:ascii="Times New Roman" w:hAnsi="Times New Roman" w:cs="Times New Roman"/>
          <w:sz w:val="24"/>
          <w:szCs w:val="24"/>
        </w:rPr>
        <w:tab/>
      </w:r>
      <w:r w:rsidR="00667665" w:rsidRPr="00383874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383874" w:rsidRPr="00383874">
        <w:rPr>
          <w:rFonts w:ascii="Times New Roman" w:hAnsi="Times New Roman" w:cs="Times New Roman"/>
          <w:sz w:val="24"/>
          <w:szCs w:val="24"/>
        </w:rPr>
        <w:t>гр. Гоце Делчев, ул. „Одрин“ № 1.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2BA091A2" wp14:editId="49FFB94F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60570A8" wp14:editId="59BFBC1D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9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>
    <w:nsid w:val="060C28EF"/>
    <w:multiLevelType w:val="hybridMultilevel"/>
    <w:tmpl w:val="08F6326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D14FC"/>
    <w:multiLevelType w:val="hybridMultilevel"/>
    <w:tmpl w:val="B8BC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9A1E0C"/>
    <w:multiLevelType w:val="hybridMultilevel"/>
    <w:tmpl w:val="CB08AC5C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05498"/>
    <w:multiLevelType w:val="hybridMultilevel"/>
    <w:tmpl w:val="4670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4">
    <w:nsid w:val="6CFB2D51"/>
    <w:multiLevelType w:val="hybridMultilevel"/>
    <w:tmpl w:val="74B60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27"/>
  </w:num>
  <w:num w:numId="4">
    <w:abstractNumId w:val="26"/>
  </w:num>
  <w:num w:numId="5">
    <w:abstractNumId w:val="12"/>
  </w:num>
  <w:num w:numId="6">
    <w:abstractNumId w:val="20"/>
  </w:num>
  <w:num w:numId="7">
    <w:abstractNumId w:val="7"/>
  </w:num>
  <w:num w:numId="8">
    <w:abstractNumId w:val="2"/>
  </w:num>
  <w:num w:numId="9">
    <w:abstractNumId w:val="16"/>
  </w:num>
  <w:num w:numId="10">
    <w:abstractNumId w:val="21"/>
  </w:num>
  <w:num w:numId="11">
    <w:abstractNumId w:val="11"/>
  </w:num>
  <w:num w:numId="12">
    <w:abstractNumId w:val="17"/>
  </w:num>
  <w:num w:numId="13">
    <w:abstractNumId w:val="10"/>
  </w:num>
  <w:num w:numId="14">
    <w:abstractNumId w:val="5"/>
  </w:num>
  <w:num w:numId="15">
    <w:abstractNumId w:val="9"/>
  </w:num>
  <w:num w:numId="16">
    <w:abstractNumId w:val="23"/>
  </w:num>
  <w:num w:numId="17">
    <w:abstractNumId w:val="15"/>
  </w:num>
  <w:num w:numId="18">
    <w:abstractNumId w:val="3"/>
  </w:num>
  <w:num w:numId="19">
    <w:abstractNumId w:val="25"/>
  </w:num>
  <w:num w:numId="20">
    <w:abstractNumId w:val="13"/>
  </w:num>
  <w:num w:numId="21">
    <w:abstractNumId w:val="19"/>
  </w:num>
  <w:num w:numId="22">
    <w:abstractNumId w:val="8"/>
  </w:num>
  <w:num w:numId="23">
    <w:abstractNumId w:val="6"/>
  </w:num>
  <w:num w:numId="24">
    <w:abstractNumId w:val="22"/>
  </w:num>
  <w:num w:numId="25">
    <w:abstractNumId w:val="18"/>
  </w:num>
  <w:num w:numId="26">
    <w:abstractNumId w:val="1"/>
  </w:num>
  <w:num w:numId="27">
    <w:abstractNumId w:val="4"/>
  </w:num>
  <w:num w:numId="28">
    <w:abstractNumId w:val="2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03F2"/>
    <w:rsid w:val="00053E43"/>
    <w:rsid w:val="000E36B9"/>
    <w:rsid w:val="00163739"/>
    <w:rsid w:val="001922BE"/>
    <w:rsid w:val="001E180D"/>
    <w:rsid w:val="001E6160"/>
    <w:rsid w:val="00216177"/>
    <w:rsid w:val="00230DC4"/>
    <w:rsid w:val="00231D9D"/>
    <w:rsid w:val="00246218"/>
    <w:rsid w:val="002553E8"/>
    <w:rsid w:val="002902E4"/>
    <w:rsid w:val="002B7327"/>
    <w:rsid w:val="00302AE9"/>
    <w:rsid w:val="00303C11"/>
    <w:rsid w:val="00383874"/>
    <w:rsid w:val="003A138A"/>
    <w:rsid w:val="003A3FFC"/>
    <w:rsid w:val="003B5A95"/>
    <w:rsid w:val="003D21C5"/>
    <w:rsid w:val="00401C85"/>
    <w:rsid w:val="00404895"/>
    <w:rsid w:val="00423C1E"/>
    <w:rsid w:val="0045042A"/>
    <w:rsid w:val="0047063A"/>
    <w:rsid w:val="00482141"/>
    <w:rsid w:val="00487482"/>
    <w:rsid w:val="004A6E39"/>
    <w:rsid w:val="00502339"/>
    <w:rsid w:val="00512103"/>
    <w:rsid w:val="00523429"/>
    <w:rsid w:val="00581279"/>
    <w:rsid w:val="005A09F8"/>
    <w:rsid w:val="005A38B7"/>
    <w:rsid w:val="00644CE9"/>
    <w:rsid w:val="0065410C"/>
    <w:rsid w:val="00667665"/>
    <w:rsid w:val="00670408"/>
    <w:rsid w:val="006856AD"/>
    <w:rsid w:val="006A61DC"/>
    <w:rsid w:val="006C4C02"/>
    <w:rsid w:val="006E2498"/>
    <w:rsid w:val="006E4CAC"/>
    <w:rsid w:val="006E664D"/>
    <w:rsid w:val="00704443"/>
    <w:rsid w:val="00736121"/>
    <w:rsid w:val="0078357E"/>
    <w:rsid w:val="00791171"/>
    <w:rsid w:val="007E3B86"/>
    <w:rsid w:val="00871A8A"/>
    <w:rsid w:val="008A08CC"/>
    <w:rsid w:val="008A50BB"/>
    <w:rsid w:val="008F6B07"/>
    <w:rsid w:val="008F6CC9"/>
    <w:rsid w:val="0090360D"/>
    <w:rsid w:val="00957AC4"/>
    <w:rsid w:val="00976D87"/>
    <w:rsid w:val="009B4D8B"/>
    <w:rsid w:val="009C5A44"/>
    <w:rsid w:val="009C69E4"/>
    <w:rsid w:val="009E3F80"/>
    <w:rsid w:val="009E40F4"/>
    <w:rsid w:val="009F235A"/>
    <w:rsid w:val="009F75FF"/>
    <w:rsid w:val="00A51A9C"/>
    <w:rsid w:val="00A5582B"/>
    <w:rsid w:val="00A6264A"/>
    <w:rsid w:val="00AA3248"/>
    <w:rsid w:val="00B01F30"/>
    <w:rsid w:val="00B43793"/>
    <w:rsid w:val="00B87CA7"/>
    <w:rsid w:val="00C218AB"/>
    <w:rsid w:val="00C53C7E"/>
    <w:rsid w:val="00C66637"/>
    <w:rsid w:val="00CD6EB5"/>
    <w:rsid w:val="00CF17B0"/>
    <w:rsid w:val="00CF200A"/>
    <w:rsid w:val="00D03E36"/>
    <w:rsid w:val="00D07633"/>
    <w:rsid w:val="00D43CBC"/>
    <w:rsid w:val="00D84EF5"/>
    <w:rsid w:val="00D9034D"/>
    <w:rsid w:val="00DC4356"/>
    <w:rsid w:val="00E31004"/>
    <w:rsid w:val="00E679E2"/>
    <w:rsid w:val="00EA1B9D"/>
    <w:rsid w:val="00EB3447"/>
    <w:rsid w:val="00EC2D2A"/>
    <w:rsid w:val="00ED2652"/>
    <w:rsid w:val="00EE54D2"/>
    <w:rsid w:val="00EE667E"/>
    <w:rsid w:val="00EF590E"/>
    <w:rsid w:val="00F20C71"/>
    <w:rsid w:val="00F227C5"/>
    <w:rsid w:val="00F66128"/>
    <w:rsid w:val="00F66798"/>
    <w:rsid w:val="00F73DB0"/>
    <w:rsid w:val="00F831BE"/>
    <w:rsid w:val="00F83CB7"/>
    <w:rsid w:val="00F90750"/>
    <w:rsid w:val="00F91FF5"/>
    <w:rsid w:val="00FA7A46"/>
    <w:rsid w:val="00FB4E97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835146FE-33EC-4EFE-BEE1-143426E2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3838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E88A7-552C-42D2-A878-CB7A0241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10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112</cp:revision>
  <dcterms:created xsi:type="dcterms:W3CDTF">2015-06-08T12:08:00Z</dcterms:created>
  <dcterms:modified xsi:type="dcterms:W3CDTF">2015-09-10T22:32:00Z</dcterms:modified>
</cp:coreProperties>
</file>